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CD" w:rsidRDefault="008773A1">
      <w:proofErr w:type="spellStart"/>
      <w:r>
        <w:t>StepOne</w:t>
      </w:r>
      <w:proofErr w:type="spellEnd"/>
      <w:r>
        <w:t xml:space="preserve"> Plus notes:</w:t>
      </w:r>
    </w:p>
    <w:p w:rsidR="008773A1" w:rsidRDefault="00D863CD">
      <w:r>
        <w:t>Before you begin, plan to compare reference samples (for consistency), extraction kits (for quantity, quality, and d</w:t>
      </w:r>
      <w:r w:rsidR="00E43ADD">
        <w:t>e</w:t>
      </w:r>
      <w:r>
        <w:t>gradation</w:t>
      </w:r>
      <w:r w:rsidR="00E43ADD">
        <w:t>)</w:t>
      </w:r>
      <w:r>
        <w:t>.</w:t>
      </w:r>
    </w:p>
    <w:p w:rsidR="008773A1" w:rsidRDefault="00FE3719" w:rsidP="008773A1">
      <w:pPr>
        <w:pStyle w:val="ListParagraph"/>
        <w:numPr>
          <w:ilvl w:val="0"/>
          <w:numId w:val="1"/>
        </w:numPr>
      </w:pPr>
      <w:r>
        <w:t xml:space="preserve">Three types of </w:t>
      </w:r>
      <w:proofErr w:type="spellStart"/>
      <w:r w:rsidRPr="00D96D6E">
        <w:rPr>
          <w:b/>
          <w:u w:val="single"/>
        </w:rPr>
        <w:t>quantitation</w:t>
      </w:r>
      <w:proofErr w:type="spellEnd"/>
      <w:r w:rsidR="008773A1">
        <w:t xml:space="preserve"> experiment type</w:t>
      </w:r>
      <w:r>
        <w:t>s; Standard curve, Relative Standard curve, or the typical ∆∆Ct, which</w:t>
      </w:r>
      <w:r w:rsidR="008773A1">
        <w:t xml:space="preserve"> is now called Comparative Ct</w:t>
      </w:r>
    </w:p>
    <w:p w:rsidR="008773A1" w:rsidRDefault="008773A1" w:rsidP="00D96D6E">
      <w:pPr>
        <w:pStyle w:val="ListParagraph"/>
        <w:numPr>
          <w:ilvl w:val="1"/>
          <w:numId w:val="1"/>
        </w:numPr>
      </w:pPr>
      <w:r>
        <w:t>For melt curve analysis push “?” on the machine or F1 on the keyboard to access help with this.</w:t>
      </w:r>
    </w:p>
    <w:p w:rsidR="00053DB0" w:rsidRDefault="008773A1" w:rsidP="00D96D6E">
      <w:pPr>
        <w:pStyle w:val="ListParagraph"/>
        <w:numPr>
          <w:ilvl w:val="1"/>
          <w:numId w:val="1"/>
        </w:numPr>
      </w:pPr>
      <w:r>
        <w:t xml:space="preserve">Software automatically handles </w:t>
      </w:r>
      <w:proofErr w:type="spellStart"/>
      <w:r>
        <w:t>Taqman</w:t>
      </w:r>
      <w:proofErr w:type="spellEnd"/>
      <w:r>
        <w:t xml:space="preserve"> and SYBR Green I Dye reagents in “Design Wizard.  For other reagents, you will have to go to Advanced Setup instead.  Note that only SYBR Green can be used for melt curve analysis</w:t>
      </w:r>
      <w:r w:rsidR="00053DB0">
        <w:t>.</w:t>
      </w:r>
    </w:p>
    <w:p w:rsidR="00053DB0" w:rsidRDefault="008773A1" w:rsidP="00D96D6E">
      <w:pPr>
        <w:pStyle w:val="ListParagraph"/>
        <w:numPr>
          <w:ilvl w:val="1"/>
          <w:numId w:val="1"/>
        </w:numPr>
      </w:pPr>
      <w:r>
        <w:t xml:space="preserve">Use Primer Express 3.0 to design your own primers and probes as this software is set with </w:t>
      </w:r>
      <w:proofErr w:type="spellStart"/>
      <w:r>
        <w:t>StepOne</w:t>
      </w:r>
      <w:proofErr w:type="spellEnd"/>
      <w:r>
        <w:t xml:space="preserve"> optimized parameters.</w:t>
      </w:r>
    </w:p>
    <w:p w:rsidR="00266DC0" w:rsidRDefault="00053DB0" w:rsidP="00D96D6E">
      <w:pPr>
        <w:pStyle w:val="ListParagraph"/>
        <w:numPr>
          <w:ilvl w:val="1"/>
          <w:numId w:val="1"/>
        </w:numPr>
      </w:pPr>
      <w:r>
        <w:t>For multiplex, SYBR cannot be used.  Typically, a probe labeled with FAM is used to detect the target and a VIC labeled probe is used to detect the endogenous control.  Endogenous control should be more abundant than all other targets</w:t>
      </w:r>
      <w:r w:rsidR="00266DC0">
        <w:t xml:space="preserve"> and fairly constant across conditions and samples,</w:t>
      </w:r>
      <w:r>
        <w:t xml:space="preserve"> and may need to be primer limited to avoid competitive PCR that may alter the Ct of less abundant template.</w:t>
      </w:r>
    </w:p>
    <w:p w:rsidR="00266DC0" w:rsidRDefault="00266DC0" w:rsidP="00D96D6E">
      <w:pPr>
        <w:pStyle w:val="ListParagraph"/>
        <w:numPr>
          <w:ilvl w:val="1"/>
          <w:numId w:val="1"/>
        </w:numPr>
      </w:pPr>
      <w:r>
        <w:tab/>
        <w:t xml:space="preserve">Should be validated with </w:t>
      </w:r>
      <w:proofErr w:type="spellStart"/>
      <w:r>
        <w:t>singleplex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multiplex before proceeding </w:t>
      </w:r>
      <w:r>
        <w:tab/>
        <w:t>with multiplex.</w:t>
      </w:r>
    </w:p>
    <w:p w:rsidR="00B94084" w:rsidRDefault="00266DC0" w:rsidP="00D96D6E">
      <w:pPr>
        <w:pStyle w:val="ListParagraph"/>
        <w:numPr>
          <w:ilvl w:val="1"/>
          <w:numId w:val="1"/>
        </w:numPr>
      </w:pPr>
      <w:r>
        <w:t xml:space="preserve">Primer/Probe design: </w:t>
      </w:r>
      <w:proofErr w:type="spellStart"/>
      <w:r>
        <w:t>Amplicons</w:t>
      </w:r>
      <w:proofErr w:type="spellEnd"/>
      <w:r>
        <w:t xml:space="preserve"> 50-150bp; G/C content 30-80% for both; avoid runs, specifically, no more than 3 Gs in a row; Tm should be 68-70</w:t>
      </w:r>
      <w:r w:rsidRPr="00B94084">
        <w:rPr>
          <w:vertAlign w:val="superscript"/>
        </w:rPr>
        <w:t>o</w:t>
      </w:r>
      <w:r>
        <w:t>C for probes, 58-60</w:t>
      </w:r>
      <w:r w:rsidRPr="00B94084">
        <w:rPr>
          <w:vertAlign w:val="superscript"/>
        </w:rPr>
        <w:t>o</w:t>
      </w:r>
      <w:r>
        <w:t xml:space="preserve">C for primers; NO G on 5’ end of PROBE </w:t>
      </w:r>
      <w:r w:rsidR="00B94084">
        <w:t xml:space="preserve">(has quenching effect) </w:t>
      </w:r>
      <w:r>
        <w:t xml:space="preserve">and as short as possible w/o being &lt; 13bp; 5 nucleotides at 3’ end of primer should have </w:t>
      </w:r>
      <w:r w:rsidR="00B94084">
        <w:t>no more than 2 G/C bases if possible to avoid non-specific product formation.</w:t>
      </w:r>
    </w:p>
    <w:p w:rsidR="00B94084" w:rsidRDefault="00B94084" w:rsidP="00D96D6E">
      <w:pPr>
        <w:pStyle w:val="ListParagraph"/>
        <w:numPr>
          <w:ilvl w:val="1"/>
          <w:numId w:val="1"/>
        </w:numPr>
      </w:pPr>
      <w:r>
        <w:t xml:space="preserve">Recommended cycling conditions on </w:t>
      </w:r>
      <w:proofErr w:type="gramStart"/>
      <w:r>
        <w:t>pg</w:t>
      </w:r>
      <w:proofErr w:type="gramEnd"/>
      <w:r>
        <w:t xml:space="preserve"> 3-28 and 29 of the Reagent Guide.</w:t>
      </w:r>
    </w:p>
    <w:p w:rsidR="00A04FB1" w:rsidRDefault="00336865" w:rsidP="00D96D6E">
      <w:pPr>
        <w:pStyle w:val="ListParagraph"/>
        <w:numPr>
          <w:ilvl w:val="1"/>
          <w:numId w:val="1"/>
        </w:numPr>
      </w:pPr>
      <w:r>
        <w:t xml:space="preserve">Optimize primer concentrations </w:t>
      </w:r>
      <w:r w:rsidR="00A04FB1">
        <w:t xml:space="preserve">for </w:t>
      </w:r>
      <w:proofErr w:type="spellStart"/>
      <w:r w:rsidR="00A04FB1">
        <w:t>quantitation</w:t>
      </w:r>
      <w:proofErr w:type="spellEnd"/>
      <w:r w:rsidR="00A04FB1">
        <w:t xml:space="preserve"> assays </w:t>
      </w:r>
      <w:r>
        <w:t xml:space="preserve">– Recommended starting </w:t>
      </w:r>
      <w:proofErr w:type="gramStart"/>
      <w:r>
        <w:t>points</w:t>
      </w:r>
      <w:proofErr w:type="gramEnd"/>
      <w:r>
        <w:t xml:space="preserve"> 900nM for </w:t>
      </w:r>
      <w:proofErr w:type="spellStart"/>
      <w:r>
        <w:t>Taqman</w:t>
      </w:r>
      <w:proofErr w:type="spellEnd"/>
      <w:r>
        <w:t xml:space="preserve"> </w:t>
      </w:r>
      <w:proofErr w:type="spellStart"/>
      <w:r>
        <w:t>Rgts</w:t>
      </w:r>
      <w:proofErr w:type="spellEnd"/>
      <w:r>
        <w:t xml:space="preserve"> (ultimately want amount that gives the lowest Ct and highest ∆</w:t>
      </w:r>
      <w:proofErr w:type="spellStart"/>
      <w:r>
        <w:t>Rn</w:t>
      </w:r>
      <w:proofErr w:type="spellEnd"/>
      <w:r>
        <w:t xml:space="preserve">), 50nM for SYBR Green </w:t>
      </w:r>
      <w:proofErr w:type="spellStart"/>
      <w:r>
        <w:t>Rgts</w:t>
      </w:r>
      <w:proofErr w:type="spellEnd"/>
      <w:r>
        <w:t xml:space="preserve"> (Same goal but must include negative controls</w:t>
      </w:r>
      <w:r w:rsidR="00A04FB1">
        <w:t xml:space="preserve"> that don’t produce product</w:t>
      </w:r>
      <w:r>
        <w:t>).</w:t>
      </w:r>
      <w:r w:rsidR="00A04FB1">
        <w:t xml:space="preserve">  Can validate by melt curve.</w:t>
      </w:r>
    </w:p>
    <w:p w:rsidR="00FE3719" w:rsidRDefault="00A04FB1" w:rsidP="00D96D6E">
      <w:pPr>
        <w:pStyle w:val="ListParagraph"/>
        <w:numPr>
          <w:ilvl w:val="1"/>
          <w:numId w:val="1"/>
        </w:numPr>
      </w:pPr>
      <w:r>
        <w:t xml:space="preserve">Optimize probe concentration – </w:t>
      </w:r>
      <w:r w:rsidR="008B784E">
        <w:t xml:space="preserve">For best reproducibility, avoid probe-limiting concentrations.  </w:t>
      </w:r>
      <w:r>
        <w:t xml:space="preserve">250nM </w:t>
      </w:r>
      <w:r w:rsidR="008B784E">
        <w:t>recommended.</w:t>
      </w:r>
    </w:p>
    <w:p w:rsidR="00FE3719" w:rsidRDefault="00FE3719" w:rsidP="008773A1">
      <w:pPr>
        <w:pStyle w:val="ListParagraph"/>
        <w:numPr>
          <w:ilvl w:val="0"/>
          <w:numId w:val="1"/>
        </w:numPr>
      </w:pPr>
      <w:r>
        <w:t xml:space="preserve">Can do </w:t>
      </w:r>
      <w:r w:rsidRPr="00FE3719">
        <w:rPr>
          <w:b/>
          <w:u w:val="single"/>
        </w:rPr>
        <w:t>genotyping</w:t>
      </w:r>
      <w:r w:rsidR="00D96D6E">
        <w:t xml:space="preserve"> which is an endpoint experiment to differentiate </w:t>
      </w:r>
      <w:proofErr w:type="spellStart"/>
      <w:r w:rsidR="00D96D6E">
        <w:t>SNPs</w:t>
      </w:r>
      <w:proofErr w:type="spellEnd"/>
    </w:p>
    <w:p w:rsidR="00D96D6E" w:rsidRDefault="00D96D6E" w:rsidP="008773A1">
      <w:pPr>
        <w:pStyle w:val="ListParagraph"/>
        <w:numPr>
          <w:ilvl w:val="0"/>
          <w:numId w:val="1"/>
        </w:numPr>
      </w:pPr>
      <w:r w:rsidRPr="00E43ADD">
        <w:rPr>
          <w:b/>
          <w:u w:val="single"/>
        </w:rPr>
        <w:t>Presence/absence experiments</w:t>
      </w:r>
      <w:r>
        <w:t>, also endpoint experiments when you just want a yes or no without actual quantity, commonly used for parasite or pathogen detection.</w:t>
      </w:r>
    </w:p>
    <w:p w:rsidR="00D96D6E" w:rsidRDefault="00D96D6E" w:rsidP="00D96D6E">
      <w:pPr>
        <w:pStyle w:val="ListParagraph"/>
        <w:numPr>
          <w:ilvl w:val="1"/>
          <w:numId w:val="1"/>
        </w:numPr>
      </w:pPr>
      <w:r>
        <w:t xml:space="preserve">Needs replicates, negative controls, and </w:t>
      </w:r>
      <w:r w:rsidR="00553586">
        <w:t>best t</w:t>
      </w:r>
      <w:r>
        <w:t>an internal positive control (IPC) to distinguish between true negatives and inhibited PCR.</w:t>
      </w:r>
    </w:p>
    <w:p w:rsidR="00FB13E5" w:rsidRDefault="00B849D0" w:rsidP="00D96D6E">
      <w:pPr>
        <w:pStyle w:val="ListParagraph"/>
        <w:numPr>
          <w:ilvl w:val="1"/>
          <w:numId w:val="1"/>
        </w:numPr>
      </w:pPr>
      <w:r>
        <w:t xml:space="preserve">Ideally, </w:t>
      </w:r>
      <w:proofErr w:type="spellStart"/>
      <w:r>
        <w:t>IPCs</w:t>
      </w:r>
      <w:proofErr w:type="spellEnd"/>
      <w:r>
        <w:t xml:space="preserve"> are run multiplexed with targets to ensure that a failed PCR is not mistaken for a negative result.</w:t>
      </w:r>
    </w:p>
    <w:p w:rsidR="006A6838" w:rsidRDefault="00FB13E5" w:rsidP="00D96D6E">
      <w:pPr>
        <w:pStyle w:val="ListParagraph"/>
        <w:numPr>
          <w:ilvl w:val="1"/>
          <w:numId w:val="1"/>
        </w:numPr>
      </w:pPr>
      <w:r>
        <w:t xml:space="preserve">TAMRA not recommended for </w:t>
      </w:r>
      <w:proofErr w:type="spellStart"/>
      <w:r>
        <w:t>StepOne</w:t>
      </w:r>
      <w:proofErr w:type="spellEnd"/>
      <w:r>
        <w:t xml:space="preserve"> so maybe we should avoid for </w:t>
      </w:r>
      <w:proofErr w:type="spellStart"/>
      <w:r>
        <w:t>StepOnePlus</w:t>
      </w:r>
      <w:proofErr w:type="spellEnd"/>
      <w:r>
        <w:t xml:space="preserve"> too.  Presence/absence not supported for Fast or SYBR Green master mixes and protocols.</w:t>
      </w:r>
    </w:p>
    <w:p w:rsidR="008773A1" w:rsidRDefault="006A6838" w:rsidP="00D96D6E">
      <w:pPr>
        <w:pStyle w:val="ListParagraph"/>
        <w:numPr>
          <w:ilvl w:val="1"/>
          <w:numId w:val="1"/>
        </w:numPr>
      </w:pPr>
      <w:r>
        <w:t>Neither Fast, nor SYBR Green master mixes and protocols are supported in presence/absence experiments.</w:t>
      </w:r>
    </w:p>
    <w:sectPr w:rsidR="008773A1" w:rsidSect="00D96D6E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702E"/>
    <w:multiLevelType w:val="hybridMultilevel"/>
    <w:tmpl w:val="D0D4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73A1"/>
    <w:rsid w:val="00053DB0"/>
    <w:rsid w:val="00105270"/>
    <w:rsid w:val="0015627A"/>
    <w:rsid w:val="00266DC0"/>
    <w:rsid w:val="00336865"/>
    <w:rsid w:val="003A02F3"/>
    <w:rsid w:val="0055215A"/>
    <w:rsid w:val="00553586"/>
    <w:rsid w:val="00592DE7"/>
    <w:rsid w:val="00607E09"/>
    <w:rsid w:val="0065492F"/>
    <w:rsid w:val="006A6838"/>
    <w:rsid w:val="006C2109"/>
    <w:rsid w:val="00754BE0"/>
    <w:rsid w:val="008773A1"/>
    <w:rsid w:val="008B784E"/>
    <w:rsid w:val="00A04FB1"/>
    <w:rsid w:val="00A95588"/>
    <w:rsid w:val="00AF5AB3"/>
    <w:rsid w:val="00B849D0"/>
    <w:rsid w:val="00B94084"/>
    <w:rsid w:val="00D863CD"/>
    <w:rsid w:val="00D96D6E"/>
    <w:rsid w:val="00E43ADD"/>
    <w:rsid w:val="00FB13E5"/>
    <w:rsid w:val="00FE3719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B8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77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395</Words>
  <Characters>2256</Characters>
  <Application>Microsoft Macintosh Word</Application>
  <DocSecurity>0</DocSecurity>
  <Lines>18</Lines>
  <Paragraphs>4</Paragraphs>
  <ScaleCrop>false</ScaleCrop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college</dc:creator>
  <cp:keywords/>
  <cp:lastModifiedBy>smith college</cp:lastModifiedBy>
  <cp:revision>7</cp:revision>
  <dcterms:created xsi:type="dcterms:W3CDTF">2012-04-26T15:05:00Z</dcterms:created>
  <dcterms:modified xsi:type="dcterms:W3CDTF">2012-06-18T18:10:00Z</dcterms:modified>
</cp:coreProperties>
</file>